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FF9" w:rsidRDefault="00491FF9" w:rsidP="00742A70">
      <w:pPr>
        <w:spacing w:after="0" w:line="240" w:lineRule="auto"/>
        <w:rPr>
          <w:sz w:val="20"/>
          <w:szCs w:val="20"/>
        </w:rPr>
      </w:pPr>
    </w:p>
    <w:p w:rsidR="00491FF9" w:rsidRDefault="00491FF9" w:rsidP="00742A70">
      <w:pPr>
        <w:spacing w:after="0" w:line="240" w:lineRule="auto"/>
        <w:rPr>
          <w:sz w:val="20"/>
          <w:szCs w:val="20"/>
        </w:rPr>
      </w:pPr>
    </w:p>
    <w:p w:rsidR="00491FF9" w:rsidRDefault="00491FF9" w:rsidP="00742A70">
      <w:pPr>
        <w:spacing w:after="0" w:line="240" w:lineRule="auto"/>
        <w:rPr>
          <w:sz w:val="20"/>
          <w:szCs w:val="20"/>
        </w:rPr>
      </w:pPr>
    </w:p>
    <w:p w:rsidR="00491FF9" w:rsidRPr="00F83072" w:rsidRDefault="00491FF9" w:rsidP="00742A70">
      <w:pPr>
        <w:spacing w:after="0" w:line="240" w:lineRule="auto"/>
        <w:rPr>
          <w:b/>
          <w:sz w:val="20"/>
          <w:szCs w:val="20"/>
        </w:rPr>
      </w:pPr>
      <w:r w:rsidRPr="00F83072">
        <w:rPr>
          <w:b/>
          <w:sz w:val="20"/>
          <w:szCs w:val="20"/>
        </w:rPr>
        <w:t>Optyka geometryczna i przyrządy optyczne/pracownia</w:t>
      </w:r>
    </w:p>
    <w:p w:rsidR="00491FF9" w:rsidRDefault="00491FF9" w:rsidP="00742A70">
      <w:pPr>
        <w:spacing w:after="0" w:line="240" w:lineRule="auto"/>
        <w:rPr>
          <w:sz w:val="20"/>
          <w:szCs w:val="20"/>
        </w:rPr>
      </w:pPr>
    </w:p>
    <w:p w:rsidR="00491FF9" w:rsidRDefault="00491FF9" w:rsidP="00491FF9">
      <w:pPr>
        <w:pStyle w:val="Akapitzlist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Mikroskop-złożenie, skalowanie.</w:t>
      </w:r>
    </w:p>
    <w:p w:rsidR="00491FF9" w:rsidRDefault="00491FF9" w:rsidP="00491FF9">
      <w:pPr>
        <w:pStyle w:val="Akapitzlist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Mikroskop- kontrast fazowy</w:t>
      </w:r>
      <w:r w:rsidR="00856B32">
        <w:rPr>
          <w:sz w:val="20"/>
          <w:szCs w:val="20"/>
        </w:rPr>
        <w:t>, kontrast interferencyjny</w:t>
      </w:r>
      <w:r>
        <w:rPr>
          <w:sz w:val="20"/>
          <w:szCs w:val="20"/>
        </w:rPr>
        <w:t>.</w:t>
      </w:r>
    </w:p>
    <w:p w:rsidR="00491FF9" w:rsidRDefault="00856B32" w:rsidP="00491FF9">
      <w:pPr>
        <w:pStyle w:val="Akapitzlist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Badanie układów teleskopowych.</w:t>
      </w:r>
    </w:p>
    <w:p w:rsidR="00D91B3F" w:rsidRDefault="00856B32" w:rsidP="00D91B3F">
      <w:pPr>
        <w:pStyle w:val="Akapitzlist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Pomiar</w:t>
      </w:r>
      <w:r w:rsidR="00D91B3F">
        <w:rPr>
          <w:sz w:val="20"/>
          <w:szCs w:val="20"/>
        </w:rPr>
        <w:t xml:space="preserve"> funkcji przenoszenia kontrastu/</w:t>
      </w:r>
      <w:r w:rsidR="00D91B3F" w:rsidRPr="00D91B3F">
        <w:rPr>
          <w:sz w:val="20"/>
          <w:szCs w:val="20"/>
        </w:rPr>
        <w:t xml:space="preserve"> </w:t>
      </w:r>
      <w:r w:rsidR="00D91B3F">
        <w:rPr>
          <w:sz w:val="20"/>
          <w:szCs w:val="20"/>
        </w:rPr>
        <w:t xml:space="preserve">Pomiar aberracji geometrycznych. </w:t>
      </w:r>
    </w:p>
    <w:p w:rsidR="00491FF9" w:rsidRDefault="00856B32" w:rsidP="00491FF9">
      <w:pPr>
        <w:pStyle w:val="Akapitzlist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Pomiary </w:t>
      </w:r>
      <w:r w:rsidR="00491FF9" w:rsidRPr="00742A70">
        <w:rPr>
          <w:sz w:val="20"/>
          <w:szCs w:val="20"/>
        </w:rPr>
        <w:t xml:space="preserve"> kątów </w:t>
      </w:r>
      <w:r>
        <w:rPr>
          <w:sz w:val="20"/>
          <w:szCs w:val="20"/>
        </w:rPr>
        <w:t xml:space="preserve">pryzmatu </w:t>
      </w:r>
      <w:r w:rsidR="00491FF9" w:rsidRPr="00742A70">
        <w:rPr>
          <w:sz w:val="20"/>
          <w:szCs w:val="20"/>
        </w:rPr>
        <w:t xml:space="preserve">i współczynnika załamania </w:t>
      </w:r>
      <w:r>
        <w:rPr>
          <w:sz w:val="20"/>
          <w:szCs w:val="20"/>
        </w:rPr>
        <w:t>szkła</w:t>
      </w:r>
      <w:r w:rsidR="00491FF9" w:rsidRPr="00742A70">
        <w:rPr>
          <w:sz w:val="20"/>
          <w:szCs w:val="20"/>
        </w:rPr>
        <w:t xml:space="preserve"> na goniometrze</w:t>
      </w:r>
      <w:r w:rsidR="00D91B3F">
        <w:rPr>
          <w:sz w:val="20"/>
          <w:szCs w:val="20"/>
        </w:rPr>
        <w:t>/refraktometrze</w:t>
      </w:r>
      <w:r w:rsidR="00491FF9" w:rsidRPr="00742A70">
        <w:rPr>
          <w:sz w:val="20"/>
          <w:szCs w:val="20"/>
        </w:rPr>
        <w:t>.</w:t>
      </w:r>
    </w:p>
    <w:p w:rsidR="00491FF9" w:rsidRDefault="00491FF9" w:rsidP="00491FF9">
      <w:pPr>
        <w:pStyle w:val="Akapitzlist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Wyznaczenie ogniskowych i płaszczyzn głównych układów optycznych. </w:t>
      </w:r>
    </w:p>
    <w:p w:rsidR="00D91B3F" w:rsidRDefault="00D91B3F" w:rsidP="00491FF9">
      <w:pPr>
        <w:pStyle w:val="Akapitzlist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Badanie charakterystyk filtrów i polaryzatorów. </w:t>
      </w:r>
    </w:p>
    <w:p w:rsidR="00F83072" w:rsidRDefault="00F83072" w:rsidP="00F83072">
      <w:pPr>
        <w:pStyle w:val="Akapitzlist"/>
        <w:spacing w:after="0" w:line="240" w:lineRule="auto"/>
        <w:rPr>
          <w:sz w:val="20"/>
          <w:szCs w:val="20"/>
        </w:rPr>
      </w:pPr>
    </w:p>
    <w:p w:rsidR="002B2255" w:rsidRPr="002B2255" w:rsidRDefault="002B2255" w:rsidP="002B2255">
      <w:pPr>
        <w:pStyle w:val="Akapitzlist"/>
        <w:spacing w:after="0" w:line="240" w:lineRule="auto"/>
        <w:ind w:left="0"/>
        <w:rPr>
          <w:b/>
          <w:sz w:val="20"/>
          <w:szCs w:val="20"/>
        </w:rPr>
      </w:pPr>
      <w:r w:rsidRPr="002B2255">
        <w:rPr>
          <w:b/>
          <w:sz w:val="20"/>
          <w:szCs w:val="20"/>
        </w:rPr>
        <w:t>Harmonogram zajęć</w:t>
      </w:r>
    </w:p>
    <w:p w:rsidR="002B2255" w:rsidRDefault="002B2255" w:rsidP="00F83072">
      <w:pPr>
        <w:pStyle w:val="Akapitzlist"/>
        <w:spacing w:after="0" w:line="240" w:lineRule="auto"/>
        <w:rPr>
          <w:sz w:val="20"/>
          <w:szCs w:val="20"/>
        </w:rPr>
      </w:pPr>
    </w:p>
    <w:tbl>
      <w:tblPr>
        <w:tblStyle w:val="Tabela-Siatka"/>
        <w:tblW w:w="0" w:type="auto"/>
        <w:tblInd w:w="-142" w:type="dxa"/>
        <w:tblLook w:val="04A0"/>
      </w:tblPr>
      <w:tblGrid>
        <w:gridCol w:w="1178"/>
        <w:gridCol w:w="1178"/>
        <w:gridCol w:w="1178"/>
        <w:gridCol w:w="1178"/>
        <w:gridCol w:w="1178"/>
        <w:gridCol w:w="1179"/>
        <w:gridCol w:w="1179"/>
        <w:gridCol w:w="1179"/>
        <w:gridCol w:w="1179"/>
      </w:tblGrid>
      <w:tr w:rsidR="00F83072" w:rsidTr="00E01E09">
        <w:tc>
          <w:tcPr>
            <w:tcW w:w="1178" w:type="dxa"/>
            <w:shd w:val="clear" w:color="auto" w:fill="D9D9D9" w:themeFill="background1" w:themeFillShade="D9"/>
          </w:tcPr>
          <w:p w:rsidR="00F83072" w:rsidRDefault="00F83072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Tydzień/  nr grupy</w:t>
            </w:r>
          </w:p>
        </w:tc>
        <w:tc>
          <w:tcPr>
            <w:tcW w:w="1178" w:type="dxa"/>
            <w:shd w:val="clear" w:color="auto" w:fill="D9D9D9" w:themeFill="background1" w:themeFillShade="D9"/>
          </w:tcPr>
          <w:p w:rsidR="00F83072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  <w:shd w:val="clear" w:color="auto" w:fill="D9D9D9" w:themeFill="background1" w:themeFillShade="D9"/>
          </w:tcPr>
          <w:p w:rsidR="00F83072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  <w:shd w:val="clear" w:color="auto" w:fill="D9D9D9" w:themeFill="background1" w:themeFillShade="D9"/>
          </w:tcPr>
          <w:p w:rsidR="00F83072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  <w:shd w:val="clear" w:color="auto" w:fill="D9D9D9" w:themeFill="background1" w:themeFillShade="D9"/>
          </w:tcPr>
          <w:p w:rsidR="00F83072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79" w:type="dxa"/>
            <w:shd w:val="clear" w:color="auto" w:fill="D9D9D9" w:themeFill="background1" w:themeFillShade="D9"/>
          </w:tcPr>
          <w:p w:rsidR="00F83072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79" w:type="dxa"/>
            <w:shd w:val="clear" w:color="auto" w:fill="D9D9D9" w:themeFill="background1" w:themeFillShade="D9"/>
          </w:tcPr>
          <w:p w:rsidR="00F83072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79" w:type="dxa"/>
            <w:shd w:val="clear" w:color="auto" w:fill="D9D9D9" w:themeFill="background1" w:themeFillShade="D9"/>
          </w:tcPr>
          <w:p w:rsidR="00F83072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79" w:type="dxa"/>
            <w:shd w:val="clear" w:color="auto" w:fill="D9D9D9" w:themeFill="background1" w:themeFillShade="D9"/>
          </w:tcPr>
          <w:p w:rsidR="00F83072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E01E09" w:rsidTr="00E01E09">
        <w:tc>
          <w:tcPr>
            <w:tcW w:w="1178" w:type="dxa"/>
          </w:tcPr>
          <w:p w:rsidR="00E01E09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:rsidR="00E01E09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:rsidR="00E01E09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:rsidR="00E01E09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:rsidR="00E01E09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79" w:type="dxa"/>
          </w:tcPr>
          <w:p w:rsidR="00E01E09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79" w:type="dxa"/>
          </w:tcPr>
          <w:p w:rsidR="00E01E09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79" w:type="dxa"/>
          </w:tcPr>
          <w:p w:rsidR="00E01E09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79" w:type="dxa"/>
            <w:vMerge w:val="restart"/>
            <w:textDirection w:val="btLr"/>
          </w:tcPr>
          <w:p w:rsidR="00E01E09" w:rsidRDefault="00E01E09" w:rsidP="00E01E09">
            <w:pPr>
              <w:pStyle w:val="Akapitzlist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odróbki</w:t>
            </w:r>
          </w:p>
        </w:tc>
      </w:tr>
      <w:tr w:rsidR="00E01E09" w:rsidTr="00F83072">
        <w:tc>
          <w:tcPr>
            <w:tcW w:w="1178" w:type="dxa"/>
          </w:tcPr>
          <w:p w:rsidR="00E01E09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:rsidR="00E01E09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:rsidR="00E01E09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:rsidR="00E01E09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:rsidR="00E01E09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79" w:type="dxa"/>
          </w:tcPr>
          <w:p w:rsidR="00E01E09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79" w:type="dxa"/>
          </w:tcPr>
          <w:p w:rsidR="00E01E09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79" w:type="dxa"/>
          </w:tcPr>
          <w:p w:rsidR="00E01E09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79" w:type="dxa"/>
            <w:vMerge/>
          </w:tcPr>
          <w:p w:rsidR="00E01E09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E01E09" w:rsidTr="00F83072">
        <w:tc>
          <w:tcPr>
            <w:tcW w:w="1178" w:type="dxa"/>
          </w:tcPr>
          <w:p w:rsidR="00E01E09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:rsidR="00E01E09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:rsidR="00E01E09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:rsidR="00E01E09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:rsidR="00E01E09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79" w:type="dxa"/>
          </w:tcPr>
          <w:p w:rsidR="00E01E09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79" w:type="dxa"/>
          </w:tcPr>
          <w:p w:rsidR="00E01E09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79" w:type="dxa"/>
          </w:tcPr>
          <w:p w:rsidR="00E01E09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79" w:type="dxa"/>
            <w:vMerge/>
          </w:tcPr>
          <w:p w:rsidR="00E01E09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E01E09" w:rsidTr="00F83072">
        <w:tc>
          <w:tcPr>
            <w:tcW w:w="1178" w:type="dxa"/>
          </w:tcPr>
          <w:p w:rsidR="00E01E09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:rsidR="00E01E09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:rsidR="00E01E09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:rsidR="00E01E09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:rsidR="00E01E09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79" w:type="dxa"/>
          </w:tcPr>
          <w:p w:rsidR="00E01E09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79" w:type="dxa"/>
          </w:tcPr>
          <w:p w:rsidR="00E01E09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79" w:type="dxa"/>
          </w:tcPr>
          <w:p w:rsidR="00E01E09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79" w:type="dxa"/>
            <w:vMerge/>
          </w:tcPr>
          <w:p w:rsidR="00E01E09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E01E09" w:rsidTr="00F83072">
        <w:tc>
          <w:tcPr>
            <w:tcW w:w="1178" w:type="dxa"/>
          </w:tcPr>
          <w:p w:rsidR="00E01E09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:rsidR="00E01E09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:rsidR="00E01E09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:rsidR="00E01E09" w:rsidRDefault="00D91B3F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78" w:type="dxa"/>
          </w:tcPr>
          <w:p w:rsidR="00E01E09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79" w:type="dxa"/>
          </w:tcPr>
          <w:p w:rsidR="00E01E09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79" w:type="dxa"/>
          </w:tcPr>
          <w:p w:rsidR="00E01E09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79" w:type="dxa"/>
          </w:tcPr>
          <w:p w:rsidR="00E01E09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79" w:type="dxa"/>
            <w:vMerge/>
          </w:tcPr>
          <w:p w:rsidR="00E01E09" w:rsidRDefault="00E01E09" w:rsidP="00E01E09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</w:p>
        </w:tc>
      </w:tr>
    </w:tbl>
    <w:p w:rsidR="00F83072" w:rsidRPr="00491FF9" w:rsidRDefault="00F83072" w:rsidP="00F83072">
      <w:pPr>
        <w:pStyle w:val="Akapitzlist"/>
        <w:spacing w:after="0" w:line="240" w:lineRule="auto"/>
        <w:ind w:left="-142"/>
        <w:rPr>
          <w:sz w:val="20"/>
          <w:szCs w:val="20"/>
        </w:rPr>
      </w:pPr>
      <w:bookmarkStart w:id="0" w:name="_GoBack"/>
      <w:bookmarkEnd w:id="0"/>
    </w:p>
    <w:sectPr w:rsidR="00F83072" w:rsidRPr="00491FF9" w:rsidSect="00D4673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465FE"/>
    <w:multiLevelType w:val="hybridMultilevel"/>
    <w:tmpl w:val="226836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B77926"/>
    <w:rsid w:val="00095A08"/>
    <w:rsid w:val="00140D01"/>
    <w:rsid w:val="0017535C"/>
    <w:rsid w:val="002B2255"/>
    <w:rsid w:val="003B1FA0"/>
    <w:rsid w:val="00470EB6"/>
    <w:rsid w:val="004729A2"/>
    <w:rsid w:val="00491FF9"/>
    <w:rsid w:val="006E18A7"/>
    <w:rsid w:val="00742A70"/>
    <w:rsid w:val="007B2B56"/>
    <w:rsid w:val="00856B32"/>
    <w:rsid w:val="0091793E"/>
    <w:rsid w:val="009511C9"/>
    <w:rsid w:val="00B77926"/>
    <w:rsid w:val="00C75C3B"/>
    <w:rsid w:val="00D46731"/>
    <w:rsid w:val="00D91B3F"/>
    <w:rsid w:val="00DF095C"/>
    <w:rsid w:val="00E01E09"/>
    <w:rsid w:val="00E05700"/>
    <w:rsid w:val="00F64346"/>
    <w:rsid w:val="00F83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1F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46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491FF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830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8307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830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30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307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3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30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467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91FF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830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8307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830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30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307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3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30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86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 Popiołek-Masajada</cp:lastModifiedBy>
  <cp:revision>8</cp:revision>
  <dcterms:created xsi:type="dcterms:W3CDTF">2016-02-16T08:15:00Z</dcterms:created>
  <dcterms:modified xsi:type="dcterms:W3CDTF">2016-02-16T10:38:00Z</dcterms:modified>
</cp:coreProperties>
</file>